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C27" w:rsidRDefault="008A2C27" w:rsidP="008A2C27">
      <w:pPr>
        <w:spacing w:line="480" w:lineRule="auto"/>
        <w:jc w:val="center"/>
        <w:rPr>
          <w:rFonts w:ascii="Times New Roman" w:hAnsi="Times New Roman" w:cs="Times New Roman"/>
          <w:sz w:val="24"/>
          <w:szCs w:val="24"/>
        </w:rPr>
      </w:pPr>
    </w:p>
    <w:p w:rsidR="008A2C27" w:rsidRDefault="008A2C27" w:rsidP="008A2C27">
      <w:pPr>
        <w:spacing w:line="480" w:lineRule="auto"/>
        <w:jc w:val="center"/>
        <w:rPr>
          <w:rFonts w:ascii="Times New Roman" w:hAnsi="Times New Roman" w:cs="Times New Roman"/>
          <w:sz w:val="24"/>
          <w:szCs w:val="24"/>
        </w:rPr>
      </w:pPr>
    </w:p>
    <w:p w:rsidR="008A2C27" w:rsidRDefault="008A2C27" w:rsidP="008A2C27">
      <w:pPr>
        <w:spacing w:line="480" w:lineRule="auto"/>
        <w:jc w:val="center"/>
        <w:rPr>
          <w:rFonts w:ascii="Times New Roman" w:hAnsi="Times New Roman" w:cs="Times New Roman"/>
          <w:sz w:val="24"/>
          <w:szCs w:val="24"/>
        </w:rPr>
      </w:pPr>
    </w:p>
    <w:p w:rsidR="008A2C27" w:rsidRDefault="008A2C27" w:rsidP="008A2C27">
      <w:pPr>
        <w:spacing w:line="480" w:lineRule="auto"/>
        <w:jc w:val="center"/>
        <w:rPr>
          <w:rFonts w:ascii="Times New Roman" w:hAnsi="Times New Roman" w:cs="Times New Roman"/>
          <w:sz w:val="24"/>
          <w:szCs w:val="24"/>
        </w:rPr>
      </w:pPr>
    </w:p>
    <w:p w:rsidR="008A2C27" w:rsidRDefault="008A2C27" w:rsidP="008A2C27">
      <w:pPr>
        <w:spacing w:line="480" w:lineRule="auto"/>
        <w:jc w:val="center"/>
        <w:rPr>
          <w:rFonts w:ascii="Times New Roman" w:hAnsi="Times New Roman" w:cs="Times New Roman"/>
          <w:sz w:val="24"/>
          <w:szCs w:val="24"/>
        </w:rPr>
      </w:pPr>
    </w:p>
    <w:p w:rsidR="008A2C27" w:rsidRDefault="008A2C27" w:rsidP="008A2C27">
      <w:pPr>
        <w:spacing w:line="480" w:lineRule="auto"/>
        <w:jc w:val="center"/>
        <w:rPr>
          <w:rFonts w:ascii="Times New Roman" w:hAnsi="Times New Roman" w:cs="Times New Roman"/>
          <w:sz w:val="24"/>
          <w:szCs w:val="24"/>
        </w:rPr>
      </w:pPr>
    </w:p>
    <w:p w:rsidR="008A2C27" w:rsidRDefault="008A2C27" w:rsidP="008A2C27">
      <w:pPr>
        <w:spacing w:line="480" w:lineRule="auto"/>
        <w:jc w:val="center"/>
        <w:rPr>
          <w:rFonts w:ascii="Times New Roman" w:hAnsi="Times New Roman" w:cs="Times New Roman"/>
          <w:sz w:val="24"/>
          <w:szCs w:val="24"/>
        </w:rPr>
      </w:pPr>
    </w:p>
    <w:p w:rsidR="008A2C27" w:rsidRDefault="008A2C27" w:rsidP="008A2C27">
      <w:pPr>
        <w:spacing w:line="480" w:lineRule="auto"/>
        <w:jc w:val="center"/>
        <w:rPr>
          <w:rFonts w:ascii="Times New Roman" w:hAnsi="Times New Roman" w:cs="Times New Roman"/>
          <w:sz w:val="24"/>
          <w:szCs w:val="24"/>
        </w:rPr>
      </w:pPr>
    </w:p>
    <w:p w:rsidR="008A2C27" w:rsidRDefault="008A2C27" w:rsidP="008A2C27">
      <w:pPr>
        <w:spacing w:line="480" w:lineRule="auto"/>
        <w:jc w:val="center"/>
        <w:rPr>
          <w:rFonts w:ascii="Times New Roman" w:hAnsi="Times New Roman" w:cs="Times New Roman"/>
          <w:sz w:val="24"/>
          <w:szCs w:val="24"/>
        </w:rPr>
      </w:pPr>
      <w:r w:rsidRPr="008A2C27">
        <w:rPr>
          <w:rFonts w:ascii="Times New Roman" w:hAnsi="Times New Roman" w:cs="Times New Roman"/>
          <w:sz w:val="24"/>
          <w:szCs w:val="24"/>
        </w:rPr>
        <w:t>Article Abstract &amp; Critique: Health Care</w:t>
      </w:r>
    </w:p>
    <w:p w:rsidR="008A2C27" w:rsidRDefault="008A2C27" w:rsidP="008A2C2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A2C27" w:rsidRDefault="008A2C27" w:rsidP="008A2C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A2C27" w:rsidRDefault="008A2C27" w:rsidP="008A2C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F41EA6" w:rsidRPr="008A2C27" w:rsidRDefault="00F41EA6" w:rsidP="008A2C27">
      <w:pPr>
        <w:spacing w:line="480" w:lineRule="auto"/>
        <w:jc w:val="center"/>
        <w:rPr>
          <w:rFonts w:ascii="Times New Roman" w:hAnsi="Times New Roman" w:cs="Times New Roman"/>
          <w:sz w:val="24"/>
          <w:szCs w:val="24"/>
        </w:rPr>
      </w:pPr>
      <w:r w:rsidRPr="008A2C27">
        <w:rPr>
          <w:rFonts w:ascii="Times New Roman" w:hAnsi="Times New Roman" w:cs="Times New Roman"/>
          <w:sz w:val="24"/>
          <w:szCs w:val="24"/>
        </w:rPr>
        <w:lastRenderedPageBreak/>
        <w:t>Article Abstract &amp; Critique: Health Care</w:t>
      </w:r>
    </w:p>
    <w:p w:rsidR="00427D0B" w:rsidRPr="008A2C27" w:rsidRDefault="00427D0B" w:rsidP="008A2C27">
      <w:pPr>
        <w:spacing w:line="480" w:lineRule="auto"/>
        <w:jc w:val="center"/>
        <w:rPr>
          <w:rFonts w:ascii="Times New Roman" w:hAnsi="Times New Roman" w:cs="Times New Roman"/>
          <w:b/>
          <w:sz w:val="24"/>
          <w:szCs w:val="24"/>
        </w:rPr>
      </w:pPr>
      <w:r w:rsidRPr="008A2C27">
        <w:rPr>
          <w:rFonts w:ascii="Times New Roman" w:hAnsi="Times New Roman" w:cs="Times New Roman"/>
          <w:b/>
          <w:sz w:val="24"/>
          <w:szCs w:val="24"/>
        </w:rPr>
        <w:t>Introduction</w:t>
      </w:r>
    </w:p>
    <w:p w:rsidR="0099069C" w:rsidRPr="008A2C27" w:rsidRDefault="009871B8" w:rsidP="008A2C27">
      <w:pPr>
        <w:spacing w:line="480" w:lineRule="auto"/>
        <w:ind w:firstLine="720"/>
        <w:rPr>
          <w:rFonts w:ascii="Times New Roman" w:hAnsi="Times New Roman" w:cs="Times New Roman"/>
          <w:sz w:val="24"/>
          <w:szCs w:val="24"/>
        </w:rPr>
      </w:pPr>
      <w:r w:rsidRPr="008A2C27">
        <w:rPr>
          <w:rFonts w:ascii="Times New Roman" w:hAnsi="Times New Roman" w:cs="Times New Roman"/>
          <w:sz w:val="24"/>
          <w:szCs w:val="24"/>
        </w:rPr>
        <w:t>Peripheral arterial disease is one of the most complex disorders related to the heart. The use of exercises is vital since it is known to improve fibrinolysis profile in some patients. It is vital for clinicians to provide universa</w:t>
      </w:r>
      <w:r w:rsidR="00935F94">
        <w:rPr>
          <w:rFonts w:ascii="Times New Roman" w:hAnsi="Times New Roman" w:cs="Times New Roman"/>
          <w:sz w:val="24"/>
          <w:szCs w:val="24"/>
        </w:rPr>
        <w:t>l care since PAD is governed by</w:t>
      </w:r>
      <w:r w:rsidRPr="008A2C27">
        <w:rPr>
          <w:rFonts w:ascii="Times New Roman" w:hAnsi="Times New Roman" w:cs="Times New Roman"/>
          <w:sz w:val="24"/>
          <w:szCs w:val="24"/>
        </w:rPr>
        <w:t xml:space="preserve"> </w:t>
      </w:r>
      <w:r w:rsidR="00935F94">
        <w:rPr>
          <w:rFonts w:ascii="Times New Roman" w:hAnsi="Times New Roman" w:cs="Times New Roman"/>
          <w:sz w:val="24"/>
          <w:szCs w:val="24"/>
        </w:rPr>
        <w:t xml:space="preserve">a decrease </w:t>
      </w:r>
      <w:r w:rsidRPr="008A2C27">
        <w:rPr>
          <w:rFonts w:ascii="Times New Roman" w:hAnsi="Times New Roman" w:cs="Times New Roman"/>
          <w:sz w:val="24"/>
          <w:szCs w:val="24"/>
        </w:rPr>
        <w:t>in the quality of life, mortali</w:t>
      </w:r>
      <w:r w:rsidR="00935F94">
        <w:rPr>
          <w:rFonts w:ascii="Times New Roman" w:hAnsi="Times New Roman" w:cs="Times New Roman"/>
          <w:sz w:val="24"/>
          <w:szCs w:val="24"/>
        </w:rPr>
        <w:t>ty, morbidity as well as limitations</w:t>
      </w:r>
      <w:r w:rsidRPr="008A2C27">
        <w:rPr>
          <w:rFonts w:ascii="Times New Roman" w:hAnsi="Times New Roman" w:cs="Times New Roman"/>
          <w:sz w:val="24"/>
          <w:szCs w:val="24"/>
        </w:rPr>
        <w:t xml:space="preserve"> in functional capacity</w:t>
      </w:r>
      <w:r w:rsidR="008A2C27" w:rsidRPr="008A2C27">
        <w:rPr>
          <w:rFonts w:ascii="Times New Roman" w:hAnsi="Times New Roman" w:cs="Times New Roman"/>
          <w:sz w:val="24"/>
          <w:szCs w:val="24"/>
        </w:rPr>
        <w:t xml:space="preserve"> (Patelis et al., 2016)</w:t>
      </w:r>
      <w:r w:rsidRPr="008A2C27">
        <w:rPr>
          <w:rFonts w:ascii="Times New Roman" w:hAnsi="Times New Roman" w:cs="Times New Roman"/>
          <w:sz w:val="24"/>
          <w:szCs w:val="24"/>
        </w:rPr>
        <w:t>. In addition, many studies have attem</w:t>
      </w:r>
      <w:r w:rsidR="00427D0B" w:rsidRPr="008A2C27">
        <w:rPr>
          <w:rFonts w:ascii="Times New Roman" w:hAnsi="Times New Roman" w:cs="Times New Roman"/>
          <w:sz w:val="24"/>
          <w:szCs w:val="24"/>
        </w:rPr>
        <w:t xml:space="preserve">pted to examine the relationship between the physical activity and fibrinolysis activities. Better exercises are likely to trigger coagulation as well as fibrinolysis at advanced levels. </w:t>
      </w:r>
    </w:p>
    <w:p w:rsidR="00427D0B" w:rsidRPr="008A2C27" w:rsidRDefault="00427D0B" w:rsidP="008A2C27">
      <w:pPr>
        <w:spacing w:line="480" w:lineRule="auto"/>
        <w:jc w:val="center"/>
        <w:rPr>
          <w:rFonts w:ascii="Times New Roman" w:hAnsi="Times New Roman" w:cs="Times New Roman"/>
          <w:b/>
          <w:sz w:val="24"/>
          <w:szCs w:val="24"/>
        </w:rPr>
      </w:pPr>
      <w:r w:rsidRPr="008A2C27">
        <w:rPr>
          <w:rFonts w:ascii="Times New Roman" w:hAnsi="Times New Roman" w:cs="Times New Roman"/>
          <w:b/>
          <w:sz w:val="24"/>
          <w:szCs w:val="24"/>
        </w:rPr>
        <w:t>Purpose</w:t>
      </w:r>
    </w:p>
    <w:p w:rsidR="00427D0B" w:rsidRPr="008A2C27" w:rsidRDefault="00427D0B" w:rsidP="008A2C27">
      <w:pPr>
        <w:spacing w:line="480" w:lineRule="auto"/>
        <w:ind w:firstLine="720"/>
        <w:rPr>
          <w:rFonts w:ascii="Times New Roman" w:hAnsi="Times New Roman" w:cs="Times New Roman"/>
          <w:sz w:val="24"/>
          <w:szCs w:val="24"/>
        </w:rPr>
      </w:pPr>
      <w:r w:rsidRPr="008A2C27">
        <w:rPr>
          <w:rFonts w:ascii="Times New Roman" w:hAnsi="Times New Roman" w:cs="Times New Roman"/>
          <w:sz w:val="24"/>
          <w:szCs w:val="24"/>
        </w:rPr>
        <w:t>The purpose of this source is to examine effects of exercise on both fibrinolysis and coagulation factors for patients who have been diagnosed with PAD.</w:t>
      </w:r>
    </w:p>
    <w:p w:rsidR="00427D0B" w:rsidRPr="008A2C27" w:rsidRDefault="00427D0B" w:rsidP="008A2C27">
      <w:pPr>
        <w:spacing w:line="480" w:lineRule="auto"/>
        <w:jc w:val="center"/>
        <w:rPr>
          <w:rFonts w:ascii="Times New Roman" w:hAnsi="Times New Roman" w:cs="Times New Roman"/>
          <w:b/>
          <w:sz w:val="24"/>
          <w:szCs w:val="24"/>
        </w:rPr>
      </w:pPr>
      <w:r w:rsidRPr="008A2C27">
        <w:rPr>
          <w:rFonts w:ascii="Times New Roman" w:hAnsi="Times New Roman" w:cs="Times New Roman"/>
          <w:b/>
          <w:sz w:val="24"/>
          <w:szCs w:val="24"/>
        </w:rPr>
        <w:t>Participant</w:t>
      </w:r>
      <w:r w:rsidR="008A2C27" w:rsidRPr="008A2C27">
        <w:rPr>
          <w:rFonts w:ascii="Times New Roman" w:hAnsi="Times New Roman" w:cs="Times New Roman"/>
          <w:b/>
          <w:sz w:val="24"/>
          <w:szCs w:val="24"/>
        </w:rPr>
        <w:t xml:space="preserve"> D</w:t>
      </w:r>
      <w:r w:rsidRPr="008A2C27">
        <w:rPr>
          <w:rFonts w:ascii="Times New Roman" w:hAnsi="Times New Roman" w:cs="Times New Roman"/>
          <w:b/>
          <w:sz w:val="24"/>
          <w:szCs w:val="24"/>
        </w:rPr>
        <w:t>escription</w:t>
      </w:r>
    </w:p>
    <w:p w:rsidR="00427D0B" w:rsidRPr="008A2C27" w:rsidRDefault="00D134CE" w:rsidP="008A2C27">
      <w:pPr>
        <w:spacing w:line="480" w:lineRule="auto"/>
        <w:rPr>
          <w:rFonts w:ascii="Times New Roman" w:hAnsi="Times New Roman" w:cs="Times New Roman"/>
          <w:sz w:val="24"/>
          <w:szCs w:val="24"/>
        </w:rPr>
      </w:pPr>
      <w:r w:rsidRPr="008A2C27">
        <w:rPr>
          <w:rFonts w:ascii="Times New Roman" w:hAnsi="Times New Roman" w:cs="Times New Roman"/>
          <w:sz w:val="24"/>
          <w:szCs w:val="24"/>
        </w:rPr>
        <w:t xml:space="preserve">13 </w:t>
      </w:r>
      <w:r w:rsidR="008A2C27">
        <w:rPr>
          <w:rFonts w:ascii="Times New Roman" w:hAnsi="Times New Roman" w:cs="Times New Roman"/>
          <w:sz w:val="24"/>
          <w:szCs w:val="24"/>
        </w:rPr>
        <w:t xml:space="preserve">different </w:t>
      </w:r>
      <w:r w:rsidRPr="008A2C27">
        <w:rPr>
          <w:rFonts w:ascii="Times New Roman" w:hAnsi="Times New Roman" w:cs="Times New Roman"/>
          <w:sz w:val="24"/>
          <w:szCs w:val="24"/>
        </w:rPr>
        <w:t xml:space="preserve">studies with 402 patients were administered in this review. </w:t>
      </w:r>
    </w:p>
    <w:p w:rsidR="00D134CE" w:rsidRPr="008A2C27" w:rsidRDefault="008A2C27" w:rsidP="008A2C27">
      <w:pPr>
        <w:spacing w:line="480" w:lineRule="auto"/>
        <w:jc w:val="center"/>
        <w:rPr>
          <w:rFonts w:ascii="Times New Roman" w:hAnsi="Times New Roman" w:cs="Times New Roman"/>
          <w:b/>
          <w:sz w:val="24"/>
          <w:szCs w:val="24"/>
        </w:rPr>
      </w:pPr>
      <w:r w:rsidRPr="008A2C27">
        <w:rPr>
          <w:rFonts w:ascii="Times New Roman" w:hAnsi="Times New Roman" w:cs="Times New Roman"/>
          <w:b/>
          <w:sz w:val="24"/>
          <w:szCs w:val="24"/>
        </w:rPr>
        <w:t>Procedures/M</w:t>
      </w:r>
      <w:r w:rsidR="00D134CE" w:rsidRPr="008A2C27">
        <w:rPr>
          <w:rFonts w:ascii="Times New Roman" w:hAnsi="Times New Roman" w:cs="Times New Roman"/>
          <w:b/>
          <w:sz w:val="24"/>
          <w:szCs w:val="24"/>
        </w:rPr>
        <w:t>ethods</w:t>
      </w:r>
    </w:p>
    <w:p w:rsidR="00427D0B" w:rsidRPr="008A2C27" w:rsidRDefault="00D134CE" w:rsidP="008A2C27">
      <w:pPr>
        <w:spacing w:line="480" w:lineRule="auto"/>
        <w:ind w:firstLine="720"/>
        <w:rPr>
          <w:rFonts w:ascii="Times New Roman" w:hAnsi="Times New Roman" w:cs="Times New Roman"/>
          <w:sz w:val="24"/>
          <w:szCs w:val="24"/>
        </w:rPr>
      </w:pPr>
      <w:r w:rsidRPr="008A2C27">
        <w:rPr>
          <w:rFonts w:ascii="Times New Roman" w:hAnsi="Times New Roman" w:cs="Times New Roman"/>
          <w:sz w:val="24"/>
          <w:szCs w:val="24"/>
        </w:rPr>
        <w:t>Systematic reviews, meta-analysis as well as case reports were used in this case study. Online and literature research attempted to yield more than 205 publications were administered to identify articles that would aid in describing implications of exercises on either fibrinolysis or coagulation in patients w</w:t>
      </w:r>
      <w:r w:rsidR="008A2C27" w:rsidRPr="008A2C27">
        <w:rPr>
          <w:rFonts w:ascii="Times New Roman" w:hAnsi="Times New Roman" w:cs="Times New Roman"/>
          <w:sz w:val="24"/>
          <w:szCs w:val="24"/>
        </w:rPr>
        <w:t>ho have been diagnosed with PAD (Patelis et al., 2016).</w:t>
      </w:r>
    </w:p>
    <w:p w:rsidR="008A2C27" w:rsidRDefault="008A2C27" w:rsidP="008A2C27">
      <w:pPr>
        <w:spacing w:line="480" w:lineRule="auto"/>
        <w:rPr>
          <w:rFonts w:ascii="Times New Roman" w:hAnsi="Times New Roman" w:cs="Times New Roman"/>
          <w:sz w:val="24"/>
          <w:szCs w:val="24"/>
        </w:rPr>
      </w:pPr>
    </w:p>
    <w:p w:rsidR="008A2C27" w:rsidRDefault="008A2C27" w:rsidP="008A2C27">
      <w:pPr>
        <w:spacing w:line="480" w:lineRule="auto"/>
        <w:rPr>
          <w:rFonts w:ascii="Times New Roman" w:hAnsi="Times New Roman" w:cs="Times New Roman"/>
          <w:sz w:val="24"/>
          <w:szCs w:val="24"/>
        </w:rPr>
      </w:pPr>
    </w:p>
    <w:p w:rsidR="00D134CE" w:rsidRPr="008A2C27" w:rsidRDefault="004D500B" w:rsidP="008A2C27">
      <w:pPr>
        <w:spacing w:line="480" w:lineRule="auto"/>
        <w:jc w:val="center"/>
        <w:rPr>
          <w:rFonts w:ascii="Times New Roman" w:hAnsi="Times New Roman" w:cs="Times New Roman"/>
          <w:b/>
          <w:sz w:val="24"/>
          <w:szCs w:val="24"/>
        </w:rPr>
      </w:pPr>
      <w:r w:rsidRPr="008A2C27">
        <w:rPr>
          <w:rFonts w:ascii="Times New Roman" w:hAnsi="Times New Roman" w:cs="Times New Roman"/>
          <w:b/>
          <w:sz w:val="24"/>
          <w:szCs w:val="24"/>
        </w:rPr>
        <w:lastRenderedPageBreak/>
        <w:t>Results</w:t>
      </w:r>
    </w:p>
    <w:p w:rsidR="004D500B" w:rsidRPr="008A2C27" w:rsidRDefault="00C262F3" w:rsidP="008A2C27">
      <w:pPr>
        <w:spacing w:line="480" w:lineRule="auto"/>
        <w:ind w:firstLine="720"/>
        <w:rPr>
          <w:rFonts w:ascii="Times New Roman" w:hAnsi="Times New Roman" w:cs="Times New Roman"/>
          <w:sz w:val="24"/>
          <w:szCs w:val="24"/>
        </w:rPr>
      </w:pPr>
      <w:r w:rsidRPr="008A2C27">
        <w:rPr>
          <w:rFonts w:ascii="Times New Roman" w:hAnsi="Times New Roman" w:cs="Times New Roman"/>
          <w:sz w:val="24"/>
          <w:szCs w:val="24"/>
        </w:rPr>
        <w:t>Coagulation and</w:t>
      </w:r>
      <w:r w:rsidR="00C26EB8" w:rsidRPr="008A2C27">
        <w:rPr>
          <w:rFonts w:ascii="Times New Roman" w:hAnsi="Times New Roman" w:cs="Times New Roman"/>
          <w:sz w:val="24"/>
          <w:szCs w:val="24"/>
        </w:rPr>
        <w:t xml:space="preserve"> fibrinolysis markers are not connected to ankle-brachial pressure Index. Again, there was no real difference as far as the baseline for TAT levels between controls and claudicants are concerned. As such,</w:t>
      </w:r>
      <w:r w:rsidR="009F02BA" w:rsidRPr="008A2C27">
        <w:rPr>
          <w:rFonts w:ascii="Times New Roman" w:hAnsi="Times New Roman" w:cs="Times New Roman"/>
          <w:sz w:val="24"/>
          <w:szCs w:val="24"/>
        </w:rPr>
        <w:t xml:space="preserve"> TAT levels for claudicants amplified immediately after exercises at median percentages of 128%.</w:t>
      </w:r>
    </w:p>
    <w:p w:rsidR="009F02BA" w:rsidRPr="008A2C27" w:rsidRDefault="009F02BA" w:rsidP="008A2C27">
      <w:pPr>
        <w:spacing w:line="480" w:lineRule="auto"/>
        <w:jc w:val="center"/>
        <w:rPr>
          <w:rFonts w:ascii="Times New Roman" w:hAnsi="Times New Roman" w:cs="Times New Roman"/>
          <w:b/>
          <w:sz w:val="24"/>
          <w:szCs w:val="24"/>
        </w:rPr>
      </w:pPr>
      <w:r w:rsidRPr="008A2C27">
        <w:rPr>
          <w:rFonts w:ascii="Times New Roman" w:hAnsi="Times New Roman" w:cs="Times New Roman"/>
          <w:b/>
          <w:sz w:val="24"/>
          <w:szCs w:val="24"/>
        </w:rPr>
        <w:t>Discussion</w:t>
      </w:r>
    </w:p>
    <w:p w:rsidR="009F02BA" w:rsidRPr="008A2C27" w:rsidRDefault="009F02BA" w:rsidP="008A2C27">
      <w:pPr>
        <w:spacing w:line="480" w:lineRule="auto"/>
        <w:ind w:firstLine="720"/>
        <w:rPr>
          <w:rFonts w:ascii="Times New Roman" w:hAnsi="Times New Roman" w:cs="Times New Roman"/>
          <w:sz w:val="24"/>
          <w:szCs w:val="24"/>
        </w:rPr>
      </w:pPr>
      <w:r w:rsidRPr="008A2C27">
        <w:rPr>
          <w:rFonts w:ascii="Times New Roman" w:hAnsi="Times New Roman" w:cs="Times New Roman"/>
          <w:sz w:val="24"/>
          <w:szCs w:val="24"/>
        </w:rPr>
        <w:t>The mechanisms of coagulation and fibrinolysis</w:t>
      </w:r>
      <w:r w:rsidR="00C17406" w:rsidRPr="008A2C27">
        <w:rPr>
          <w:rFonts w:ascii="Times New Roman" w:hAnsi="Times New Roman" w:cs="Times New Roman"/>
          <w:sz w:val="24"/>
          <w:szCs w:val="24"/>
        </w:rPr>
        <w:t xml:space="preserve"> will improve</w:t>
      </w:r>
      <w:r w:rsidR="00893122" w:rsidRPr="008A2C27">
        <w:rPr>
          <w:rFonts w:ascii="Times New Roman" w:hAnsi="Times New Roman" w:cs="Times New Roman"/>
          <w:sz w:val="24"/>
          <w:szCs w:val="24"/>
        </w:rPr>
        <w:t xml:space="preserve"> individual’s health, and as such, they are characterized by dynamic balances. In addition, fibrinolysis is mostly activated by exercises. As a result, there are positive outcomes that have prolonged effects. There is need of more researches to determine whether fibrinolysis or coagulation is influenced by the types of exercises as well as intensities in claudicants.</w:t>
      </w:r>
    </w:p>
    <w:p w:rsidR="00893122" w:rsidRPr="008A2C27" w:rsidRDefault="008A2C27" w:rsidP="008A2C27">
      <w:pPr>
        <w:spacing w:line="480" w:lineRule="auto"/>
        <w:jc w:val="center"/>
        <w:rPr>
          <w:rFonts w:ascii="Times New Roman" w:hAnsi="Times New Roman" w:cs="Times New Roman"/>
          <w:b/>
          <w:sz w:val="24"/>
          <w:szCs w:val="24"/>
        </w:rPr>
      </w:pPr>
      <w:r w:rsidRPr="008A2C27">
        <w:rPr>
          <w:rFonts w:ascii="Times New Roman" w:hAnsi="Times New Roman" w:cs="Times New Roman"/>
          <w:b/>
          <w:sz w:val="24"/>
          <w:szCs w:val="24"/>
        </w:rPr>
        <w:t>Personal Reflections</w:t>
      </w:r>
    </w:p>
    <w:p w:rsidR="00893122" w:rsidRPr="008A2C27" w:rsidRDefault="00893122" w:rsidP="008A2C27">
      <w:pPr>
        <w:spacing w:line="480" w:lineRule="auto"/>
        <w:ind w:firstLine="720"/>
        <w:rPr>
          <w:rFonts w:ascii="Times New Roman" w:hAnsi="Times New Roman" w:cs="Times New Roman"/>
          <w:sz w:val="24"/>
          <w:szCs w:val="24"/>
        </w:rPr>
      </w:pPr>
      <w:r w:rsidRPr="008A2C27">
        <w:rPr>
          <w:rFonts w:ascii="Times New Roman" w:hAnsi="Times New Roman" w:cs="Times New Roman"/>
          <w:sz w:val="24"/>
          <w:szCs w:val="24"/>
        </w:rPr>
        <w:t>Upon examining the case study, it is evident that exercise</w:t>
      </w:r>
      <w:r w:rsidR="00F41EA6" w:rsidRPr="008A2C27">
        <w:rPr>
          <w:rFonts w:ascii="Times New Roman" w:hAnsi="Times New Roman" w:cs="Times New Roman"/>
          <w:sz w:val="24"/>
          <w:szCs w:val="24"/>
        </w:rPr>
        <w:t>s improve life since they improve walking distances as well as increase life expectancy for patients who have been diagnosed with PAD. Clinicians should recommend more exercises for patients with PAD since this will improve health outcomes. There is also the need of more research to determine more benefits of exercises for patients with PAD.</w:t>
      </w:r>
    </w:p>
    <w:p w:rsidR="008A2C27" w:rsidRDefault="008A2C27" w:rsidP="008A2C27">
      <w:pPr>
        <w:spacing w:line="480" w:lineRule="auto"/>
        <w:rPr>
          <w:rFonts w:ascii="Times New Roman" w:hAnsi="Times New Roman" w:cs="Times New Roman"/>
          <w:sz w:val="24"/>
          <w:szCs w:val="24"/>
        </w:rPr>
      </w:pPr>
    </w:p>
    <w:p w:rsidR="008A2C27" w:rsidRDefault="008A2C27" w:rsidP="008A2C27">
      <w:pPr>
        <w:spacing w:line="480" w:lineRule="auto"/>
        <w:rPr>
          <w:rFonts w:ascii="Times New Roman" w:hAnsi="Times New Roman" w:cs="Times New Roman"/>
          <w:sz w:val="24"/>
          <w:szCs w:val="24"/>
        </w:rPr>
      </w:pPr>
    </w:p>
    <w:p w:rsidR="008A2C27" w:rsidRDefault="008A2C27" w:rsidP="008A2C27">
      <w:pPr>
        <w:spacing w:line="480" w:lineRule="auto"/>
        <w:rPr>
          <w:rFonts w:ascii="Times New Roman" w:hAnsi="Times New Roman" w:cs="Times New Roman"/>
          <w:sz w:val="24"/>
          <w:szCs w:val="24"/>
        </w:rPr>
      </w:pPr>
    </w:p>
    <w:p w:rsidR="008A2C27" w:rsidRDefault="008A2C27" w:rsidP="008A2C27">
      <w:pPr>
        <w:spacing w:line="480" w:lineRule="auto"/>
        <w:rPr>
          <w:rFonts w:ascii="Times New Roman" w:hAnsi="Times New Roman" w:cs="Times New Roman"/>
          <w:sz w:val="24"/>
          <w:szCs w:val="24"/>
        </w:rPr>
      </w:pPr>
    </w:p>
    <w:p w:rsidR="008A2C27" w:rsidRDefault="008A2C27" w:rsidP="008A2C27">
      <w:pPr>
        <w:spacing w:line="480" w:lineRule="auto"/>
        <w:rPr>
          <w:rFonts w:ascii="Times New Roman" w:hAnsi="Times New Roman" w:cs="Times New Roman"/>
          <w:sz w:val="24"/>
          <w:szCs w:val="24"/>
        </w:rPr>
      </w:pPr>
    </w:p>
    <w:p w:rsidR="00F41EA6" w:rsidRPr="008A2C27" w:rsidRDefault="00F41EA6" w:rsidP="008A2C27">
      <w:pPr>
        <w:spacing w:line="480" w:lineRule="auto"/>
        <w:jc w:val="center"/>
        <w:rPr>
          <w:rFonts w:ascii="Times New Roman" w:hAnsi="Times New Roman" w:cs="Times New Roman"/>
          <w:sz w:val="24"/>
          <w:szCs w:val="24"/>
        </w:rPr>
      </w:pPr>
      <w:r w:rsidRPr="008A2C27">
        <w:rPr>
          <w:rFonts w:ascii="Times New Roman" w:hAnsi="Times New Roman" w:cs="Times New Roman"/>
          <w:sz w:val="24"/>
          <w:szCs w:val="24"/>
        </w:rPr>
        <w:lastRenderedPageBreak/>
        <w:t>References</w:t>
      </w:r>
    </w:p>
    <w:p w:rsidR="00427D0B" w:rsidRPr="008A2C27" w:rsidRDefault="00F41EA6" w:rsidP="008A2C27">
      <w:pPr>
        <w:spacing w:line="480" w:lineRule="auto"/>
        <w:ind w:left="720" w:hanging="720"/>
        <w:rPr>
          <w:rFonts w:ascii="Times New Roman" w:hAnsi="Times New Roman" w:cs="Times New Roman"/>
          <w:sz w:val="24"/>
          <w:szCs w:val="24"/>
        </w:rPr>
      </w:pPr>
      <w:r w:rsidRPr="008A2C27">
        <w:rPr>
          <w:rFonts w:ascii="Times New Roman" w:hAnsi="Times New Roman" w:cs="Times New Roman"/>
          <w:sz w:val="24"/>
          <w:szCs w:val="24"/>
          <w:shd w:val="clear" w:color="auto" w:fill="FFFFFF"/>
        </w:rPr>
        <w:t>Patelis, N., Karaolanis, G., Kouvelos, G. N., Hart, C., &amp;Metheiken, S. (2016). The effect of exercise on coagulation and fibrinolysis factors in patients with peripheral arterial disease. Retrieved from</w:t>
      </w:r>
      <w:hyperlink r:id="rId6" w:history="1">
        <w:r w:rsidRPr="008A2C27">
          <w:rPr>
            <w:rStyle w:val="Hyperlink"/>
            <w:rFonts w:ascii="Times New Roman" w:hAnsi="Times New Roman" w:cs="Times New Roman"/>
            <w:color w:val="auto"/>
            <w:sz w:val="24"/>
            <w:szCs w:val="24"/>
            <w:shd w:val="clear" w:color="auto" w:fill="FFFFFF"/>
          </w:rPr>
          <w:t>https://www.ncbi.nlm.nih.gov/pmc/article</w:t>
        </w:r>
        <w:bookmarkStart w:id="0" w:name="_GoBack"/>
        <w:bookmarkEnd w:id="0"/>
        <w:r w:rsidRPr="008A2C27">
          <w:rPr>
            <w:rStyle w:val="Hyperlink"/>
            <w:rFonts w:ascii="Times New Roman" w:hAnsi="Times New Roman" w:cs="Times New Roman"/>
            <w:color w:val="auto"/>
            <w:sz w:val="24"/>
            <w:szCs w:val="24"/>
            <w:shd w:val="clear" w:color="auto" w:fill="FFFFFF"/>
          </w:rPr>
          <w:t>s/PMC4999625/</w:t>
        </w:r>
      </w:hyperlink>
      <w:r w:rsidRPr="008A2C27">
        <w:rPr>
          <w:rFonts w:ascii="Times New Roman" w:hAnsi="Times New Roman" w:cs="Times New Roman"/>
          <w:sz w:val="24"/>
          <w:szCs w:val="24"/>
          <w:shd w:val="clear" w:color="auto" w:fill="FFFFFF"/>
        </w:rPr>
        <w:t>.  </w:t>
      </w:r>
      <w:r w:rsidRPr="008A2C27">
        <w:rPr>
          <w:rFonts w:ascii="Times New Roman" w:hAnsi="Times New Roman" w:cs="Times New Roman"/>
          <w:i/>
          <w:iCs/>
          <w:sz w:val="24"/>
          <w:szCs w:val="24"/>
          <w:shd w:val="clear" w:color="auto" w:fill="FFFFFF"/>
        </w:rPr>
        <w:t>Experimental Biology and Medicine</w:t>
      </w:r>
      <w:r w:rsidRPr="008A2C27">
        <w:rPr>
          <w:rFonts w:ascii="Times New Roman" w:hAnsi="Times New Roman" w:cs="Times New Roman"/>
          <w:sz w:val="24"/>
          <w:szCs w:val="24"/>
          <w:shd w:val="clear" w:color="auto" w:fill="FFFFFF"/>
        </w:rPr>
        <w:t>, </w:t>
      </w:r>
      <w:r w:rsidRPr="008A2C27">
        <w:rPr>
          <w:rFonts w:ascii="Times New Roman" w:hAnsi="Times New Roman" w:cs="Times New Roman"/>
          <w:i/>
          <w:iCs/>
          <w:sz w:val="24"/>
          <w:szCs w:val="24"/>
          <w:shd w:val="clear" w:color="auto" w:fill="FFFFFF"/>
        </w:rPr>
        <w:t>241</w:t>
      </w:r>
      <w:r w:rsidRPr="008A2C27">
        <w:rPr>
          <w:rFonts w:ascii="Times New Roman" w:hAnsi="Times New Roman" w:cs="Times New Roman"/>
          <w:sz w:val="24"/>
          <w:szCs w:val="24"/>
          <w:shd w:val="clear" w:color="auto" w:fill="FFFFFF"/>
        </w:rPr>
        <w:t>(15), 1699-1707.</w:t>
      </w:r>
    </w:p>
    <w:sectPr w:rsidR="00427D0B" w:rsidRPr="008A2C27" w:rsidSect="008A2C27">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B70" w:rsidRDefault="009E2B70" w:rsidP="008A2C27">
      <w:pPr>
        <w:spacing w:after="0" w:line="240" w:lineRule="auto"/>
      </w:pPr>
      <w:r>
        <w:separator/>
      </w:r>
    </w:p>
  </w:endnote>
  <w:endnote w:type="continuationSeparator" w:id="1">
    <w:p w:rsidR="009E2B70" w:rsidRDefault="009E2B70" w:rsidP="008A2C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B70" w:rsidRDefault="009E2B70" w:rsidP="008A2C27">
      <w:pPr>
        <w:spacing w:after="0" w:line="240" w:lineRule="auto"/>
      </w:pPr>
      <w:r>
        <w:separator/>
      </w:r>
    </w:p>
  </w:footnote>
  <w:footnote w:type="continuationSeparator" w:id="1">
    <w:p w:rsidR="009E2B70" w:rsidRDefault="009E2B70" w:rsidP="008A2C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04622775"/>
      <w:docPartObj>
        <w:docPartGallery w:val="Page Numbers (Top of Page)"/>
        <w:docPartUnique/>
      </w:docPartObj>
    </w:sdtPr>
    <w:sdtEndPr>
      <w:rPr>
        <w:noProof/>
      </w:rPr>
    </w:sdtEndPr>
    <w:sdtContent>
      <w:p w:rsidR="008A2C27" w:rsidRPr="008A2C27" w:rsidRDefault="008A2C27" w:rsidP="008A2C27">
        <w:pPr>
          <w:pStyle w:val="Header"/>
          <w:spacing w:line="480" w:lineRule="auto"/>
          <w:rPr>
            <w:rFonts w:ascii="Times New Roman" w:hAnsi="Times New Roman" w:cs="Times New Roman"/>
            <w:sz w:val="24"/>
            <w:szCs w:val="24"/>
          </w:rPr>
        </w:pPr>
        <w:r w:rsidRPr="008A2C27">
          <w:rPr>
            <w:rFonts w:ascii="Times New Roman" w:hAnsi="Times New Roman" w:cs="Times New Roman"/>
            <w:sz w:val="24"/>
            <w:szCs w:val="24"/>
          </w:rPr>
          <w:t>ARTICLE ABSTRACT &amp; CRITIQUE: HEALTH CARE</w:t>
        </w:r>
        <w:r w:rsidR="00935F94">
          <w:rPr>
            <w:rFonts w:ascii="Times New Roman" w:hAnsi="Times New Roman" w:cs="Times New Roman"/>
            <w:sz w:val="24"/>
            <w:szCs w:val="24"/>
          </w:rPr>
          <w:t xml:space="preserve">                                                </w:t>
        </w:r>
        <w:r w:rsidR="00310599" w:rsidRPr="008A2C27">
          <w:rPr>
            <w:rFonts w:ascii="Times New Roman" w:hAnsi="Times New Roman" w:cs="Times New Roman"/>
            <w:sz w:val="24"/>
            <w:szCs w:val="24"/>
          </w:rPr>
          <w:fldChar w:fldCharType="begin"/>
        </w:r>
        <w:r w:rsidRPr="008A2C27">
          <w:rPr>
            <w:rFonts w:ascii="Times New Roman" w:hAnsi="Times New Roman" w:cs="Times New Roman"/>
            <w:sz w:val="24"/>
            <w:szCs w:val="24"/>
          </w:rPr>
          <w:instrText xml:space="preserve"> PAGE   \* MERGEFORMAT </w:instrText>
        </w:r>
        <w:r w:rsidR="00310599" w:rsidRPr="008A2C27">
          <w:rPr>
            <w:rFonts w:ascii="Times New Roman" w:hAnsi="Times New Roman" w:cs="Times New Roman"/>
            <w:sz w:val="24"/>
            <w:szCs w:val="24"/>
          </w:rPr>
          <w:fldChar w:fldCharType="separate"/>
        </w:r>
        <w:r w:rsidR="00935F94">
          <w:rPr>
            <w:rFonts w:ascii="Times New Roman" w:hAnsi="Times New Roman" w:cs="Times New Roman"/>
            <w:noProof/>
            <w:sz w:val="24"/>
            <w:szCs w:val="24"/>
          </w:rPr>
          <w:t>3</w:t>
        </w:r>
        <w:r w:rsidR="00310599" w:rsidRPr="008A2C2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C27" w:rsidRPr="008A2C27" w:rsidRDefault="008A2C27" w:rsidP="008A2C27">
    <w:pPr>
      <w:pStyle w:val="Header"/>
      <w:spacing w:line="480" w:lineRule="auto"/>
      <w:rPr>
        <w:rFonts w:ascii="Times New Roman" w:hAnsi="Times New Roman" w:cs="Times New Roman"/>
        <w:sz w:val="24"/>
        <w:szCs w:val="24"/>
      </w:rPr>
    </w:pPr>
    <w:r w:rsidRPr="008A2C27">
      <w:rPr>
        <w:rFonts w:ascii="Times New Roman" w:hAnsi="Times New Roman" w:cs="Times New Roman"/>
        <w:sz w:val="24"/>
        <w:szCs w:val="24"/>
      </w:rPr>
      <w:t>Running head: ARTICLE ABSTRACT &amp; CRITIQUE: HEALTH CARE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71B8"/>
    <w:rsid w:val="00310599"/>
    <w:rsid w:val="00427D0B"/>
    <w:rsid w:val="004D500B"/>
    <w:rsid w:val="00893122"/>
    <w:rsid w:val="008A2C27"/>
    <w:rsid w:val="00935F94"/>
    <w:rsid w:val="009871B8"/>
    <w:rsid w:val="0099069C"/>
    <w:rsid w:val="009E2B70"/>
    <w:rsid w:val="009F02BA"/>
    <w:rsid w:val="00C17406"/>
    <w:rsid w:val="00C262F3"/>
    <w:rsid w:val="00C26EB8"/>
    <w:rsid w:val="00D134CE"/>
    <w:rsid w:val="00F41EA6"/>
    <w:rsid w:val="00F51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5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1EA6"/>
    <w:rPr>
      <w:color w:val="0563C1" w:themeColor="hyperlink"/>
      <w:u w:val="single"/>
    </w:rPr>
  </w:style>
  <w:style w:type="paragraph" w:styleId="Header">
    <w:name w:val="header"/>
    <w:basedOn w:val="Normal"/>
    <w:link w:val="HeaderChar"/>
    <w:uiPriority w:val="99"/>
    <w:unhideWhenUsed/>
    <w:rsid w:val="008A2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C27"/>
  </w:style>
  <w:style w:type="paragraph" w:styleId="Footer">
    <w:name w:val="footer"/>
    <w:basedOn w:val="Normal"/>
    <w:link w:val="FooterChar"/>
    <w:uiPriority w:val="99"/>
    <w:unhideWhenUsed/>
    <w:rsid w:val="008A2C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C2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9996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2019-11-11T19:22:00Z</dcterms:created>
  <dcterms:modified xsi:type="dcterms:W3CDTF">2019-11-11T19:22:00Z</dcterms:modified>
</cp:coreProperties>
</file>